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5A31" w14:textId="77777777" w:rsidR="00445E0B" w:rsidRPr="00445E0B" w:rsidRDefault="00445E0B" w:rsidP="00445E0B">
      <w:r w:rsidRPr="00445E0B">
        <w:t xml:space="preserve">Last year the North Devon World Surfing Reserve received a $10,000 grant from the Save The Waves Coalition in the </w:t>
      </w:r>
      <w:proofErr w:type="gramStart"/>
      <w:r w:rsidRPr="00445E0B">
        <w:t>USA  and</w:t>
      </w:r>
      <w:proofErr w:type="gramEnd"/>
      <w:r w:rsidRPr="00445E0B">
        <w:t xml:space="preserve"> £5,000 from </w:t>
      </w:r>
      <w:proofErr w:type="spellStart"/>
      <w:r w:rsidRPr="00445E0B">
        <w:t>Dryrobe</w:t>
      </w:r>
      <w:proofErr w:type="spellEnd"/>
      <w:r w:rsidRPr="00445E0B">
        <w:t xml:space="preserve"> for the Coastal Rivers Project. </w:t>
      </w:r>
      <w:hyperlink r:id="rId6" w:tgtFrame="_blank" w:history="1">
        <w:r w:rsidRPr="00445E0B">
          <w:rPr>
            <w:rStyle w:val="Hyperlink"/>
          </w:rPr>
          <w:t>Coastal Rivers Project | ND Surf Reserve</w:t>
        </w:r>
      </w:hyperlink>
    </w:p>
    <w:p w14:paraId="5501BBB4" w14:textId="77777777" w:rsidR="00445E0B" w:rsidRPr="00445E0B" w:rsidRDefault="00445E0B" w:rsidP="00445E0B">
      <w:r w:rsidRPr="00445E0B">
        <w:t xml:space="preserve">Teaming up with Earth Action North Devon and the National Trust, this is a new pilot project aimed at protecting and restoring rivers, helping to mitigate the expected impacts of climate change and improve water quality within the surf reserve. Essentially putting natural interventions into the </w:t>
      </w:r>
      <w:proofErr w:type="spellStart"/>
      <w:r w:rsidRPr="00445E0B">
        <w:t>Combesgate</w:t>
      </w:r>
      <w:proofErr w:type="spellEnd"/>
      <w:r w:rsidRPr="00445E0B">
        <w:t xml:space="preserve"> Valley with a view to fundraising for the whole of the coastal rivers that enters the Reserve. So far, the National Trust team has completed 27 interventions involving the removal and the breaking up of historic land drains and the installation of nature-based measures including leaky dams, baffles and ponds. Water testing is underway with the </w:t>
      </w:r>
      <w:proofErr w:type="gramStart"/>
      <w:r w:rsidRPr="00445E0B">
        <w:t>NT</w:t>
      </w:r>
      <w:proofErr w:type="gramEnd"/>
      <w:r w:rsidRPr="00445E0B">
        <w:t xml:space="preserve"> but initial findings are positive with lots of plastic being recovered too.</w:t>
      </w:r>
    </w:p>
    <w:p w14:paraId="6C21E4EA" w14:textId="77777777" w:rsidR="00445E0B" w:rsidRPr="00445E0B" w:rsidRDefault="00445E0B" w:rsidP="00445E0B">
      <w:r w:rsidRPr="00445E0B">
        <w:t>The NT continue to do varied work across their land including the introduction of water buffalo up on Exmoor!</w:t>
      </w:r>
    </w:p>
    <w:p w14:paraId="2315BBFE" w14:textId="77777777" w:rsidR="00445E0B" w:rsidRPr="00445E0B" w:rsidRDefault="00445E0B" w:rsidP="00445E0B">
      <w:r w:rsidRPr="00445E0B">
        <w:t xml:space="preserve">Closer to home, Croyde was the second highest polluted surf beach in the UK last year and subjected to 721.8hrs of sewage pollution. An investigation is targeting </w:t>
      </w:r>
      <w:proofErr w:type="gramStart"/>
      <w:r w:rsidRPr="00445E0B">
        <w:t>South West</w:t>
      </w:r>
      <w:proofErr w:type="gramEnd"/>
      <w:r w:rsidRPr="00445E0B">
        <w:t xml:space="preserve"> Water over sewage discharges from an overflow on Baggy Point, which impacts the bathing water area, along with other potential sources. Another investigation with The Times revealed that </w:t>
      </w:r>
      <w:proofErr w:type="gramStart"/>
      <w:r w:rsidRPr="00445E0B">
        <w:t>South West</w:t>
      </w:r>
      <w:proofErr w:type="gramEnd"/>
      <w:r w:rsidRPr="00445E0B">
        <w:t xml:space="preserve"> Water allegedly illegally dumped sewage 113 times directly next to Croyde Bay in 2025.</w:t>
      </w:r>
    </w:p>
    <w:p w14:paraId="2240BAB3" w14:textId="77777777" w:rsidR="00445E0B" w:rsidRPr="00445E0B" w:rsidRDefault="00445E0B" w:rsidP="00445E0B">
      <w:r w:rsidRPr="00445E0B">
        <w:t xml:space="preserve">The World Surfing Reserve is now focussed on improving the </w:t>
      </w:r>
      <w:proofErr w:type="spellStart"/>
      <w:r w:rsidRPr="00445E0B">
        <w:t>Crydda</w:t>
      </w:r>
      <w:proofErr w:type="spellEnd"/>
      <w:r w:rsidRPr="00445E0B">
        <w:t>. The next stage of the Coastal Rivers Project.</w:t>
      </w:r>
    </w:p>
    <w:p w14:paraId="4CD403E5" w14:textId="77777777" w:rsidR="00445E0B" w:rsidRPr="00445E0B" w:rsidRDefault="00445E0B" w:rsidP="00445E0B">
      <w:r w:rsidRPr="00445E0B">
        <w:t xml:space="preserve">Coordinated through Earth Action North Devon and working with the UNESCO Biosphere, Nat Landscapes and John Fowler. We aim to improve water quality into the sea. The difference with this project is that water testing is happening right now through citizen science and the Smart Biosphere platform. </w:t>
      </w:r>
      <w:hyperlink r:id="rId7" w:tgtFrame="_blank" w:history="1">
        <w:r w:rsidRPr="00445E0B">
          <w:rPr>
            <w:rStyle w:val="Hyperlink"/>
          </w:rPr>
          <w:t>Smart Biosphere</w:t>
        </w:r>
      </w:hyperlink>
    </w:p>
    <w:p w14:paraId="107107E5" w14:textId="77777777" w:rsidR="00445E0B" w:rsidRPr="00445E0B" w:rsidRDefault="00445E0B" w:rsidP="00445E0B">
      <w:r w:rsidRPr="00445E0B">
        <w:t>Here's the data from the last 3 weeks' testing. Results above 1000 E coli per 100ml are considered "Poor". Good news is that the sea shows no bacteria, however the river is a concern.</w:t>
      </w:r>
    </w:p>
    <w:p w14:paraId="5B48852D" w14:textId="77777777" w:rsidR="00445E0B" w:rsidRPr="00445E0B" w:rsidRDefault="00445E0B" w:rsidP="00445E0B">
      <w:pPr>
        <w:spacing w:after="0"/>
      </w:pPr>
    </w:p>
    <w:tbl>
      <w:tblPr>
        <w:tblW w:w="5380" w:type="dxa"/>
        <w:tblCellMar>
          <w:left w:w="0" w:type="dxa"/>
          <w:right w:w="0" w:type="dxa"/>
        </w:tblCellMar>
        <w:tblLook w:val="04A0" w:firstRow="1" w:lastRow="0" w:firstColumn="1" w:lastColumn="0" w:noHBand="0" w:noVBand="1"/>
      </w:tblPr>
      <w:tblGrid>
        <w:gridCol w:w="2080"/>
        <w:gridCol w:w="1132"/>
        <w:gridCol w:w="1132"/>
        <w:gridCol w:w="1132"/>
      </w:tblGrid>
      <w:tr w:rsidR="00445E0B" w:rsidRPr="00445E0B" w14:paraId="2257F37D" w14:textId="77777777">
        <w:trPr>
          <w:trHeight w:val="225"/>
        </w:trPr>
        <w:tc>
          <w:tcPr>
            <w:tcW w:w="2080" w:type="dxa"/>
            <w:noWrap/>
            <w:tcMar>
              <w:top w:w="15" w:type="dxa"/>
              <w:left w:w="15" w:type="dxa"/>
              <w:bottom w:w="0" w:type="dxa"/>
              <w:right w:w="15" w:type="dxa"/>
            </w:tcMar>
            <w:vAlign w:val="bottom"/>
            <w:hideMark/>
          </w:tcPr>
          <w:p w14:paraId="0829F6E7" w14:textId="77777777" w:rsidR="00445E0B" w:rsidRPr="00445E0B" w:rsidRDefault="00445E0B" w:rsidP="00445E0B">
            <w:pPr>
              <w:spacing w:after="0"/>
            </w:pPr>
          </w:p>
        </w:tc>
        <w:tc>
          <w:tcPr>
            <w:tcW w:w="1100" w:type="dxa"/>
            <w:noWrap/>
            <w:tcMar>
              <w:top w:w="15" w:type="dxa"/>
              <w:left w:w="15" w:type="dxa"/>
              <w:bottom w:w="0" w:type="dxa"/>
              <w:right w:w="15" w:type="dxa"/>
            </w:tcMar>
            <w:vAlign w:val="bottom"/>
            <w:hideMark/>
          </w:tcPr>
          <w:p w14:paraId="4CF1B071" w14:textId="77777777" w:rsidR="00445E0B" w:rsidRPr="00445E0B" w:rsidRDefault="00445E0B" w:rsidP="00445E0B">
            <w:pPr>
              <w:spacing w:after="0"/>
            </w:pPr>
            <w:r w:rsidRPr="00445E0B">
              <w:t>06/04/2026</w:t>
            </w:r>
          </w:p>
        </w:tc>
        <w:tc>
          <w:tcPr>
            <w:tcW w:w="1100" w:type="dxa"/>
            <w:noWrap/>
            <w:tcMar>
              <w:top w:w="15" w:type="dxa"/>
              <w:left w:w="15" w:type="dxa"/>
              <w:bottom w:w="0" w:type="dxa"/>
              <w:right w:w="15" w:type="dxa"/>
            </w:tcMar>
            <w:vAlign w:val="bottom"/>
            <w:hideMark/>
          </w:tcPr>
          <w:p w14:paraId="6F0AC58D" w14:textId="77777777" w:rsidR="00445E0B" w:rsidRPr="00445E0B" w:rsidRDefault="00445E0B" w:rsidP="00445E0B">
            <w:pPr>
              <w:spacing w:after="0"/>
            </w:pPr>
            <w:r w:rsidRPr="00445E0B">
              <w:t>13/04/2026</w:t>
            </w:r>
          </w:p>
        </w:tc>
        <w:tc>
          <w:tcPr>
            <w:tcW w:w="1100" w:type="dxa"/>
            <w:noWrap/>
            <w:tcMar>
              <w:top w:w="15" w:type="dxa"/>
              <w:left w:w="15" w:type="dxa"/>
              <w:bottom w:w="0" w:type="dxa"/>
              <w:right w:w="15" w:type="dxa"/>
            </w:tcMar>
            <w:vAlign w:val="bottom"/>
            <w:hideMark/>
          </w:tcPr>
          <w:p w14:paraId="0B499EA6" w14:textId="77777777" w:rsidR="00445E0B" w:rsidRPr="00445E0B" w:rsidRDefault="00445E0B" w:rsidP="00445E0B">
            <w:pPr>
              <w:spacing w:after="0"/>
            </w:pPr>
            <w:r w:rsidRPr="00445E0B">
              <w:t>20/04/2026</w:t>
            </w:r>
          </w:p>
        </w:tc>
      </w:tr>
      <w:tr w:rsidR="00445E0B" w:rsidRPr="00445E0B" w14:paraId="109F1F06" w14:textId="77777777">
        <w:trPr>
          <w:trHeight w:val="225"/>
        </w:trPr>
        <w:tc>
          <w:tcPr>
            <w:tcW w:w="2080" w:type="dxa"/>
            <w:noWrap/>
            <w:tcMar>
              <w:top w:w="15" w:type="dxa"/>
              <w:left w:w="15" w:type="dxa"/>
              <w:bottom w:w="0" w:type="dxa"/>
              <w:right w:w="15" w:type="dxa"/>
            </w:tcMar>
            <w:vAlign w:val="bottom"/>
            <w:hideMark/>
          </w:tcPr>
          <w:p w14:paraId="2324CA32" w14:textId="77777777" w:rsidR="00445E0B" w:rsidRPr="00445E0B" w:rsidRDefault="00445E0B" w:rsidP="00445E0B">
            <w:pPr>
              <w:spacing w:after="0"/>
            </w:pPr>
            <w:r w:rsidRPr="00445E0B">
              <w:t>Sea</w:t>
            </w:r>
          </w:p>
        </w:tc>
        <w:tc>
          <w:tcPr>
            <w:tcW w:w="1100" w:type="dxa"/>
            <w:noWrap/>
            <w:tcMar>
              <w:top w:w="15" w:type="dxa"/>
              <w:left w:w="15" w:type="dxa"/>
              <w:bottom w:w="0" w:type="dxa"/>
              <w:right w:w="15" w:type="dxa"/>
            </w:tcMar>
            <w:vAlign w:val="bottom"/>
            <w:hideMark/>
          </w:tcPr>
          <w:p w14:paraId="556D9417" w14:textId="77777777" w:rsidR="00445E0B" w:rsidRPr="00445E0B" w:rsidRDefault="00445E0B" w:rsidP="00445E0B">
            <w:pPr>
              <w:spacing w:after="0"/>
            </w:pPr>
            <w:r w:rsidRPr="00445E0B">
              <w:t>0</w:t>
            </w:r>
          </w:p>
        </w:tc>
        <w:tc>
          <w:tcPr>
            <w:tcW w:w="1100" w:type="dxa"/>
            <w:noWrap/>
            <w:tcMar>
              <w:top w:w="15" w:type="dxa"/>
              <w:left w:w="15" w:type="dxa"/>
              <w:bottom w:w="0" w:type="dxa"/>
              <w:right w:w="15" w:type="dxa"/>
            </w:tcMar>
            <w:vAlign w:val="bottom"/>
            <w:hideMark/>
          </w:tcPr>
          <w:p w14:paraId="67D70B79" w14:textId="77777777" w:rsidR="00445E0B" w:rsidRPr="00445E0B" w:rsidRDefault="00445E0B" w:rsidP="00445E0B">
            <w:pPr>
              <w:spacing w:after="0"/>
            </w:pPr>
            <w:r w:rsidRPr="00445E0B">
              <w:t>0</w:t>
            </w:r>
          </w:p>
        </w:tc>
        <w:tc>
          <w:tcPr>
            <w:tcW w:w="1100" w:type="dxa"/>
            <w:noWrap/>
            <w:tcMar>
              <w:top w:w="15" w:type="dxa"/>
              <w:left w:w="15" w:type="dxa"/>
              <w:bottom w:w="0" w:type="dxa"/>
              <w:right w:w="15" w:type="dxa"/>
            </w:tcMar>
            <w:vAlign w:val="bottom"/>
            <w:hideMark/>
          </w:tcPr>
          <w:p w14:paraId="3FE007FC" w14:textId="77777777" w:rsidR="00445E0B" w:rsidRPr="00445E0B" w:rsidRDefault="00445E0B" w:rsidP="00445E0B">
            <w:pPr>
              <w:spacing w:after="0"/>
            </w:pPr>
            <w:r w:rsidRPr="00445E0B">
              <w:t>0</w:t>
            </w:r>
          </w:p>
        </w:tc>
      </w:tr>
      <w:tr w:rsidR="00445E0B" w:rsidRPr="00445E0B" w14:paraId="5EB8615A" w14:textId="77777777">
        <w:trPr>
          <w:trHeight w:val="225"/>
        </w:trPr>
        <w:tc>
          <w:tcPr>
            <w:tcW w:w="2080" w:type="dxa"/>
            <w:noWrap/>
            <w:tcMar>
              <w:top w:w="15" w:type="dxa"/>
              <w:left w:w="15" w:type="dxa"/>
              <w:bottom w:w="0" w:type="dxa"/>
              <w:right w:w="15" w:type="dxa"/>
            </w:tcMar>
            <w:vAlign w:val="bottom"/>
            <w:hideMark/>
          </w:tcPr>
          <w:p w14:paraId="4375DFCD" w14:textId="77777777" w:rsidR="00445E0B" w:rsidRPr="00445E0B" w:rsidRDefault="00445E0B" w:rsidP="00445E0B">
            <w:pPr>
              <w:spacing w:after="0"/>
            </w:pPr>
            <w:r w:rsidRPr="00445E0B">
              <w:t>Beach</w:t>
            </w:r>
          </w:p>
        </w:tc>
        <w:tc>
          <w:tcPr>
            <w:tcW w:w="1100" w:type="dxa"/>
            <w:noWrap/>
            <w:tcMar>
              <w:top w:w="15" w:type="dxa"/>
              <w:left w:w="15" w:type="dxa"/>
              <w:bottom w:w="0" w:type="dxa"/>
              <w:right w:w="15" w:type="dxa"/>
            </w:tcMar>
            <w:vAlign w:val="bottom"/>
            <w:hideMark/>
          </w:tcPr>
          <w:p w14:paraId="1C17A546" w14:textId="77777777" w:rsidR="00445E0B" w:rsidRPr="00445E0B" w:rsidRDefault="00445E0B" w:rsidP="00445E0B">
            <w:pPr>
              <w:spacing w:after="0"/>
            </w:pPr>
            <w:r w:rsidRPr="00445E0B">
              <w:t>2200</w:t>
            </w:r>
          </w:p>
        </w:tc>
        <w:tc>
          <w:tcPr>
            <w:tcW w:w="1100" w:type="dxa"/>
            <w:noWrap/>
            <w:tcMar>
              <w:top w:w="15" w:type="dxa"/>
              <w:left w:w="15" w:type="dxa"/>
              <w:bottom w:w="0" w:type="dxa"/>
              <w:right w:w="15" w:type="dxa"/>
            </w:tcMar>
            <w:vAlign w:val="bottom"/>
            <w:hideMark/>
          </w:tcPr>
          <w:p w14:paraId="522C3430" w14:textId="77777777" w:rsidR="00445E0B" w:rsidRPr="00445E0B" w:rsidRDefault="00445E0B" w:rsidP="00445E0B">
            <w:pPr>
              <w:spacing w:after="0"/>
            </w:pPr>
            <w:r w:rsidRPr="00445E0B">
              <w:t>1400</w:t>
            </w:r>
          </w:p>
        </w:tc>
        <w:tc>
          <w:tcPr>
            <w:tcW w:w="1100" w:type="dxa"/>
            <w:noWrap/>
            <w:tcMar>
              <w:top w:w="15" w:type="dxa"/>
              <w:left w:w="15" w:type="dxa"/>
              <w:bottom w:w="0" w:type="dxa"/>
              <w:right w:w="15" w:type="dxa"/>
            </w:tcMar>
            <w:vAlign w:val="bottom"/>
            <w:hideMark/>
          </w:tcPr>
          <w:p w14:paraId="04DAF367" w14:textId="77777777" w:rsidR="00445E0B" w:rsidRPr="00445E0B" w:rsidRDefault="00445E0B" w:rsidP="00445E0B">
            <w:pPr>
              <w:spacing w:after="0"/>
            </w:pPr>
            <w:r w:rsidRPr="00445E0B">
              <w:t>200</w:t>
            </w:r>
          </w:p>
        </w:tc>
      </w:tr>
      <w:tr w:rsidR="00445E0B" w:rsidRPr="00445E0B" w14:paraId="5CF65EAC" w14:textId="77777777">
        <w:trPr>
          <w:trHeight w:val="225"/>
        </w:trPr>
        <w:tc>
          <w:tcPr>
            <w:tcW w:w="2080" w:type="dxa"/>
            <w:noWrap/>
            <w:tcMar>
              <w:top w:w="15" w:type="dxa"/>
              <w:left w:w="15" w:type="dxa"/>
              <w:bottom w:w="0" w:type="dxa"/>
              <w:right w:w="15" w:type="dxa"/>
            </w:tcMar>
            <w:vAlign w:val="bottom"/>
            <w:hideMark/>
          </w:tcPr>
          <w:p w14:paraId="627B969B" w14:textId="77777777" w:rsidR="00445E0B" w:rsidRPr="00445E0B" w:rsidRDefault="00445E0B" w:rsidP="00445E0B">
            <w:pPr>
              <w:spacing w:after="0"/>
            </w:pPr>
            <w:r w:rsidRPr="00445E0B">
              <w:t>Village Hall</w:t>
            </w:r>
          </w:p>
        </w:tc>
        <w:tc>
          <w:tcPr>
            <w:tcW w:w="1100" w:type="dxa"/>
            <w:noWrap/>
            <w:tcMar>
              <w:top w:w="15" w:type="dxa"/>
              <w:left w:w="15" w:type="dxa"/>
              <w:bottom w:w="0" w:type="dxa"/>
              <w:right w:w="15" w:type="dxa"/>
            </w:tcMar>
            <w:vAlign w:val="bottom"/>
            <w:hideMark/>
          </w:tcPr>
          <w:p w14:paraId="3A4D9B24" w14:textId="77777777" w:rsidR="00445E0B" w:rsidRPr="00445E0B" w:rsidRDefault="00445E0B" w:rsidP="00445E0B">
            <w:pPr>
              <w:spacing w:after="0"/>
            </w:pPr>
            <w:r w:rsidRPr="00445E0B">
              <w:t>1300</w:t>
            </w:r>
          </w:p>
        </w:tc>
        <w:tc>
          <w:tcPr>
            <w:tcW w:w="1100" w:type="dxa"/>
            <w:noWrap/>
            <w:tcMar>
              <w:top w:w="15" w:type="dxa"/>
              <w:left w:w="15" w:type="dxa"/>
              <w:bottom w:w="0" w:type="dxa"/>
              <w:right w:w="15" w:type="dxa"/>
            </w:tcMar>
            <w:vAlign w:val="bottom"/>
            <w:hideMark/>
          </w:tcPr>
          <w:p w14:paraId="4E457DF5" w14:textId="77777777" w:rsidR="00445E0B" w:rsidRPr="00445E0B" w:rsidRDefault="00445E0B" w:rsidP="00445E0B">
            <w:pPr>
              <w:spacing w:after="0"/>
            </w:pPr>
            <w:r w:rsidRPr="00445E0B">
              <w:t>900</w:t>
            </w:r>
          </w:p>
        </w:tc>
        <w:tc>
          <w:tcPr>
            <w:tcW w:w="1100" w:type="dxa"/>
            <w:noWrap/>
            <w:tcMar>
              <w:top w:w="15" w:type="dxa"/>
              <w:left w:w="15" w:type="dxa"/>
              <w:bottom w:w="0" w:type="dxa"/>
              <w:right w:w="15" w:type="dxa"/>
            </w:tcMar>
            <w:vAlign w:val="bottom"/>
            <w:hideMark/>
          </w:tcPr>
          <w:p w14:paraId="5AFDFD97" w14:textId="77777777" w:rsidR="00445E0B" w:rsidRPr="00445E0B" w:rsidRDefault="00445E0B" w:rsidP="00445E0B">
            <w:pPr>
              <w:spacing w:after="0"/>
            </w:pPr>
            <w:r w:rsidRPr="00445E0B">
              <w:t>2400</w:t>
            </w:r>
          </w:p>
        </w:tc>
      </w:tr>
      <w:tr w:rsidR="00445E0B" w:rsidRPr="00445E0B" w14:paraId="3D7249D8" w14:textId="77777777">
        <w:trPr>
          <w:trHeight w:val="225"/>
        </w:trPr>
        <w:tc>
          <w:tcPr>
            <w:tcW w:w="2080" w:type="dxa"/>
            <w:noWrap/>
            <w:tcMar>
              <w:top w:w="15" w:type="dxa"/>
              <w:left w:w="15" w:type="dxa"/>
              <w:bottom w:w="0" w:type="dxa"/>
              <w:right w:w="15" w:type="dxa"/>
            </w:tcMar>
            <w:vAlign w:val="bottom"/>
            <w:hideMark/>
          </w:tcPr>
          <w:p w14:paraId="729ADDFF" w14:textId="77777777" w:rsidR="00445E0B" w:rsidRPr="00445E0B" w:rsidRDefault="00445E0B" w:rsidP="00445E0B">
            <w:pPr>
              <w:spacing w:after="0"/>
            </w:pPr>
            <w:r w:rsidRPr="00445E0B">
              <w:t>Baptist Church</w:t>
            </w:r>
          </w:p>
        </w:tc>
        <w:tc>
          <w:tcPr>
            <w:tcW w:w="1100" w:type="dxa"/>
            <w:noWrap/>
            <w:tcMar>
              <w:top w:w="15" w:type="dxa"/>
              <w:left w:w="15" w:type="dxa"/>
              <w:bottom w:w="0" w:type="dxa"/>
              <w:right w:w="15" w:type="dxa"/>
            </w:tcMar>
            <w:vAlign w:val="bottom"/>
            <w:hideMark/>
          </w:tcPr>
          <w:p w14:paraId="3A4386F5" w14:textId="77777777" w:rsidR="00445E0B" w:rsidRPr="00445E0B" w:rsidRDefault="00445E0B" w:rsidP="00445E0B">
            <w:pPr>
              <w:spacing w:after="0"/>
            </w:pPr>
            <w:r w:rsidRPr="00445E0B">
              <w:t>1200</w:t>
            </w:r>
          </w:p>
        </w:tc>
        <w:tc>
          <w:tcPr>
            <w:tcW w:w="1100" w:type="dxa"/>
            <w:noWrap/>
            <w:tcMar>
              <w:top w:w="15" w:type="dxa"/>
              <w:left w:w="15" w:type="dxa"/>
              <w:bottom w:w="0" w:type="dxa"/>
              <w:right w:w="15" w:type="dxa"/>
            </w:tcMar>
            <w:vAlign w:val="bottom"/>
            <w:hideMark/>
          </w:tcPr>
          <w:p w14:paraId="4B9D40A4" w14:textId="77777777" w:rsidR="00445E0B" w:rsidRPr="00445E0B" w:rsidRDefault="00445E0B" w:rsidP="00445E0B">
            <w:pPr>
              <w:spacing w:after="0"/>
            </w:pPr>
            <w:r w:rsidRPr="00445E0B">
              <w:t>4200</w:t>
            </w:r>
          </w:p>
        </w:tc>
        <w:tc>
          <w:tcPr>
            <w:tcW w:w="1100" w:type="dxa"/>
            <w:noWrap/>
            <w:tcMar>
              <w:top w:w="15" w:type="dxa"/>
              <w:left w:w="15" w:type="dxa"/>
              <w:bottom w:w="0" w:type="dxa"/>
              <w:right w:w="15" w:type="dxa"/>
            </w:tcMar>
            <w:vAlign w:val="bottom"/>
            <w:hideMark/>
          </w:tcPr>
          <w:p w14:paraId="6AC5B309" w14:textId="77777777" w:rsidR="00445E0B" w:rsidRPr="00445E0B" w:rsidRDefault="00445E0B" w:rsidP="00445E0B">
            <w:pPr>
              <w:spacing w:after="0"/>
            </w:pPr>
            <w:r w:rsidRPr="00445E0B">
              <w:t>1400</w:t>
            </w:r>
          </w:p>
        </w:tc>
      </w:tr>
      <w:tr w:rsidR="00445E0B" w:rsidRPr="00445E0B" w14:paraId="28540AA6" w14:textId="77777777">
        <w:trPr>
          <w:trHeight w:val="225"/>
        </w:trPr>
        <w:tc>
          <w:tcPr>
            <w:tcW w:w="2080" w:type="dxa"/>
            <w:noWrap/>
            <w:tcMar>
              <w:top w:w="15" w:type="dxa"/>
              <w:left w:w="15" w:type="dxa"/>
              <w:bottom w:w="0" w:type="dxa"/>
              <w:right w:w="15" w:type="dxa"/>
            </w:tcMar>
            <w:vAlign w:val="bottom"/>
            <w:hideMark/>
          </w:tcPr>
          <w:p w14:paraId="6487BAC2" w14:textId="77777777" w:rsidR="00445E0B" w:rsidRPr="00445E0B" w:rsidRDefault="00445E0B" w:rsidP="00445E0B">
            <w:pPr>
              <w:spacing w:after="0"/>
            </w:pPr>
            <w:proofErr w:type="spellStart"/>
            <w:r w:rsidRPr="00445E0B">
              <w:t>Forda</w:t>
            </w:r>
            <w:proofErr w:type="spellEnd"/>
          </w:p>
        </w:tc>
        <w:tc>
          <w:tcPr>
            <w:tcW w:w="1100" w:type="dxa"/>
            <w:noWrap/>
            <w:tcMar>
              <w:top w:w="15" w:type="dxa"/>
              <w:left w:w="15" w:type="dxa"/>
              <w:bottom w:w="0" w:type="dxa"/>
              <w:right w:w="15" w:type="dxa"/>
            </w:tcMar>
            <w:vAlign w:val="bottom"/>
            <w:hideMark/>
          </w:tcPr>
          <w:p w14:paraId="461495C5" w14:textId="77777777" w:rsidR="00445E0B" w:rsidRPr="00445E0B" w:rsidRDefault="00445E0B" w:rsidP="00445E0B">
            <w:pPr>
              <w:spacing w:after="0"/>
            </w:pPr>
            <w:r w:rsidRPr="00445E0B">
              <w:t>0</w:t>
            </w:r>
          </w:p>
        </w:tc>
        <w:tc>
          <w:tcPr>
            <w:tcW w:w="1100" w:type="dxa"/>
            <w:noWrap/>
            <w:tcMar>
              <w:top w:w="15" w:type="dxa"/>
              <w:left w:w="15" w:type="dxa"/>
              <w:bottom w:w="0" w:type="dxa"/>
              <w:right w:w="15" w:type="dxa"/>
            </w:tcMar>
            <w:vAlign w:val="bottom"/>
            <w:hideMark/>
          </w:tcPr>
          <w:p w14:paraId="1EC2729F" w14:textId="77777777" w:rsidR="00445E0B" w:rsidRPr="00445E0B" w:rsidRDefault="00445E0B" w:rsidP="00445E0B">
            <w:pPr>
              <w:spacing w:after="0"/>
            </w:pPr>
            <w:r w:rsidRPr="00445E0B">
              <w:t>200</w:t>
            </w:r>
          </w:p>
        </w:tc>
        <w:tc>
          <w:tcPr>
            <w:tcW w:w="1100" w:type="dxa"/>
            <w:noWrap/>
            <w:tcMar>
              <w:top w:w="15" w:type="dxa"/>
              <w:left w:w="15" w:type="dxa"/>
              <w:bottom w:w="0" w:type="dxa"/>
              <w:right w:w="15" w:type="dxa"/>
            </w:tcMar>
            <w:vAlign w:val="bottom"/>
            <w:hideMark/>
          </w:tcPr>
          <w:p w14:paraId="24B3FF40" w14:textId="77777777" w:rsidR="00445E0B" w:rsidRPr="00445E0B" w:rsidRDefault="00445E0B" w:rsidP="00445E0B">
            <w:pPr>
              <w:spacing w:after="0"/>
            </w:pPr>
            <w:r w:rsidRPr="00445E0B">
              <w:t>300</w:t>
            </w:r>
          </w:p>
        </w:tc>
      </w:tr>
      <w:tr w:rsidR="00445E0B" w:rsidRPr="00445E0B" w14:paraId="4E408416" w14:textId="77777777">
        <w:trPr>
          <w:trHeight w:val="225"/>
        </w:trPr>
        <w:tc>
          <w:tcPr>
            <w:tcW w:w="2080" w:type="dxa"/>
            <w:noWrap/>
            <w:tcMar>
              <w:top w:w="15" w:type="dxa"/>
              <w:left w:w="15" w:type="dxa"/>
              <w:bottom w:w="0" w:type="dxa"/>
              <w:right w:w="15" w:type="dxa"/>
            </w:tcMar>
            <w:vAlign w:val="bottom"/>
            <w:hideMark/>
          </w:tcPr>
          <w:p w14:paraId="3B295853" w14:textId="77777777" w:rsidR="00445E0B" w:rsidRPr="00445E0B" w:rsidRDefault="00445E0B" w:rsidP="00445E0B">
            <w:pPr>
              <w:spacing w:after="0"/>
            </w:pPr>
            <w:proofErr w:type="spellStart"/>
            <w:r w:rsidRPr="00445E0B">
              <w:t>Georgeham</w:t>
            </w:r>
            <w:proofErr w:type="spellEnd"/>
            <w:r w:rsidRPr="00445E0B">
              <w:t xml:space="preserve"> Tributary</w:t>
            </w:r>
          </w:p>
        </w:tc>
        <w:tc>
          <w:tcPr>
            <w:tcW w:w="1100" w:type="dxa"/>
            <w:noWrap/>
            <w:tcMar>
              <w:top w:w="15" w:type="dxa"/>
              <w:left w:w="15" w:type="dxa"/>
              <w:bottom w:w="0" w:type="dxa"/>
              <w:right w:w="15" w:type="dxa"/>
            </w:tcMar>
            <w:vAlign w:val="bottom"/>
            <w:hideMark/>
          </w:tcPr>
          <w:p w14:paraId="3C2E2FB6" w14:textId="77777777" w:rsidR="00445E0B" w:rsidRPr="00445E0B" w:rsidRDefault="00445E0B" w:rsidP="00445E0B">
            <w:pPr>
              <w:spacing w:after="0"/>
            </w:pPr>
            <w:r w:rsidRPr="00445E0B">
              <w:t>500</w:t>
            </w:r>
          </w:p>
        </w:tc>
        <w:tc>
          <w:tcPr>
            <w:tcW w:w="1100" w:type="dxa"/>
            <w:noWrap/>
            <w:tcMar>
              <w:top w:w="15" w:type="dxa"/>
              <w:left w:w="15" w:type="dxa"/>
              <w:bottom w:w="0" w:type="dxa"/>
              <w:right w:w="15" w:type="dxa"/>
            </w:tcMar>
            <w:vAlign w:val="bottom"/>
            <w:hideMark/>
          </w:tcPr>
          <w:p w14:paraId="52E91E80" w14:textId="77777777" w:rsidR="00445E0B" w:rsidRPr="00445E0B" w:rsidRDefault="00445E0B" w:rsidP="00445E0B">
            <w:pPr>
              <w:spacing w:after="0"/>
            </w:pPr>
            <w:r w:rsidRPr="00445E0B">
              <w:t>1300</w:t>
            </w:r>
          </w:p>
        </w:tc>
        <w:tc>
          <w:tcPr>
            <w:tcW w:w="1100" w:type="dxa"/>
            <w:noWrap/>
            <w:tcMar>
              <w:top w:w="15" w:type="dxa"/>
              <w:left w:w="15" w:type="dxa"/>
              <w:bottom w:w="0" w:type="dxa"/>
              <w:right w:w="15" w:type="dxa"/>
            </w:tcMar>
            <w:vAlign w:val="bottom"/>
            <w:hideMark/>
          </w:tcPr>
          <w:p w14:paraId="5443F5FB" w14:textId="77777777" w:rsidR="00445E0B" w:rsidRPr="00445E0B" w:rsidRDefault="00445E0B" w:rsidP="00445E0B">
            <w:pPr>
              <w:spacing w:after="0"/>
            </w:pPr>
            <w:r w:rsidRPr="00445E0B">
              <w:t>4500</w:t>
            </w:r>
          </w:p>
        </w:tc>
      </w:tr>
    </w:tbl>
    <w:p w14:paraId="1C181B08" w14:textId="77777777" w:rsidR="00445E0B" w:rsidRPr="00445E0B" w:rsidRDefault="00445E0B" w:rsidP="00445E0B"/>
    <w:p w14:paraId="63D1CFFB" w14:textId="77777777" w:rsidR="00445E0B" w:rsidRPr="00445E0B" w:rsidRDefault="00445E0B" w:rsidP="00445E0B">
      <w:proofErr w:type="gramStart"/>
      <w:r w:rsidRPr="00445E0B">
        <w:t>In order to</w:t>
      </w:r>
      <w:proofErr w:type="gramEnd"/>
      <w:r w:rsidRPr="00445E0B">
        <w:t xml:space="preserve"> </w:t>
      </w:r>
      <w:proofErr w:type="spellStart"/>
      <w:r w:rsidRPr="00445E0B">
        <w:t>held</w:t>
      </w:r>
      <w:proofErr w:type="spellEnd"/>
      <w:r w:rsidRPr="00445E0B">
        <w:t xml:space="preserve"> fund interventions, we are hosting a Surf &amp; Conservation Festival in </w:t>
      </w:r>
      <w:proofErr w:type="spellStart"/>
      <w:r w:rsidRPr="00445E0B">
        <w:t>Freshwell</w:t>
      </w:r>
      <w:proofErr w:type="spellEnd"/>
      <w:r w:rsidRPr="00445E0B">
        <w:t xml:space="preserve"> camping again this year. The dates are 21st 22nd August. The World Surfing Reserve is also developing a digital fundraising tool to support this and we're hoping that all the local businesses will support financially too.</w:t>
      </w:r>
    </w:p>
    <w:p w14:paraId="0324B45E" w14:textId="77777777" w:rsidR="00445E0B" w:rsidRPr="00445E0B" w:rsidRDefault="00445E0B" w:rsidP="00445E0B"/>
    <w:p w14:paraId="32282801" w14:textId="77777777" w:rsidR="00445E0B" w:rsidRPr="00445E0B" w:rsidRDefault="00445E0B" w:rsidP="00445E0B">
      <w:r w:rsidRPr="00445E0B">
        <w:lastRenderedPageBreak/>
        <w:t>A local film has been produced for the Save The Waves Film Festival that will be shown here and the rest of the UK. This film focuses on the work being done in North Devon on this very subject. - not a witch hunt for SSW</w:t>
      </w:r>
    </w:p>
    <w:p w14:paraId="47F779AA" w14:textId="77777777" w:rsidR="0006558F" w:rsidRDefault="0006558F"/>
    <w:sectPr w:rsidR="000655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0C25" w14:textId="77777777" w:rsidR="00626337" w:rsidRDefault="00626337" w:rsidP="00445E0B">
      <w:pPr>
        <w:spacing w:after="0" w:line="240" w:lineRule="auto"/>
      </w:pPr>
      <w:r>
        <w:separator/>
      </w:r>
    </w:p>
  </w:endnote>
  <w:endnote w:type="continuationSeparator" w:id="0">
    <w:p w14:paraId="07940BD4" w14:textId="77777777" w:rsidR="00626337" w:rsidRDefault="00626337" w:rsidP="0044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4587" w14:textId="77777777" w:rsidR="00626337" w:rsidRDefault="00626337" w:rsidP="00445E0B">
      <w:pPr>
        <w:spacing w:after="0" w:line="240" w:lineRule="auto"/>
      </w:pPr>
      <w:r>
        <w:separator/>
      </w:r>
    </w:p>
  </w:footnote>
  <w:footnote w:type="continuationSeparator" w:id="0">
    <w:p w14:paraId="601A9C01" w14:textId="77777777" w:rsidR="00626337" w:rsidRDefault="00626337" w:rsidP="00445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E3B" w14:textId="6B33C7E2" w:rsidR="00445E0B" w:rsidRDefault="00445E0B">
    <w:pPr>
      <w:pStyle w:val="Header"/>
    </w:pPr>
    <w:r w:rsidRPr="00445E0B">
      <w:t>North Devon World Surfing Reserve</w:t>
    </w:r>
    <w:r>
      <w:t xml:space="preserve"> report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E0B"/>
    <w:rsid w:val="0006558F"/>
    <w:rsid w:val="002625CE"/>
    <w:rsid w:val="00445E0B"/>
    <w:rsid w:val="00626337"/>
    <w:rsid w:val="00D4608F"/>
    <w:rsid w:val="00DB6575"/>
    <w:rsid w:val="00EF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4105"/>
  <w15:chartTrackingRefBased/>
  <w15:docId w15:val="{0AC826FB-9442-47D0-8458-3DD1CE3F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E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E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5E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5E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5E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5E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5E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E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E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5E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5E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E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E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E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E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E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5E0B"/>
    <w:pPr>
      <w:spacing w:before="160"/>
      <w:jc w:val="center"/>
    </w:pPr>
    <w:rPr>
      <w:i/>
      <w:iCs/>
      <w:color w:val="404040" w:themeColor="text1" w:themeTint="BF"/>
    </w:rPr>
  </w:style>
  <w:style w:type="character" w:customStyle="1" w:styleId="QuoteChar">
    <w:name w:val="Quote Char"/>
    <w:basedOn w:val="DefaultParagraphFont"/>
    <w:link w:val="Quote"/>
    <w:uiPriority w:val="29"/>
    <w:rsid w:val="00445E0B"/>
    <w:rPr>
      <w:i/>
      <w:iCs/>
      <w:color w:val="404040" w:themeColor="text1" w:themeTint="BF"/>
    </w:rPr>
  </w:style>
  <w:style w:type="paragraph" w:styleId="ListParagraph">
    <w:name w:val="List Paragraph"/>
    <w:basedOn w:val="Normal"/>
    <w:uiPriority w:val="34"/>
    <w:qFormat/>
    <w:rsid w:val="00445E0B"/>
    <w:pPr>
      <w:ind w:left="720"/>
      <w:contextualSpacing/>
    </w:pPr>
  </w:style>
  <w:style w:type="character" w:styleId="IntenseEmphasis">
    <w:name w:val="Intense Emphasis"/>
    <w:basedOn w:val="DefaultParagraphFont"/>
    <w:uiPriority w:val="21"/>
    <w:qFormat/>
    <w:rsid w:val="00445E0B"/>
    <w:rPr>
      <w:i/>
      <w:iCs/>
      <w:color w:val="0F4761" w:themeColor="accent1" w:themeShade="BF"/>
    </w:rPr>
  </w:style>
  <w:style w:type="paragraph" w:styleId="IntenseQuote">
    <w:name w:val="Intense Quote"/>
    <w:basedOn w:val="Normal"/>
    <w:next w:val="Normal"/>
    <w:link w:val="IntenseQuoteChar"/>
    <w:uiPriority w:val="30"/>
    <w:qFormat/>
    <w:rsid w:val="0044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E0B"/>
    <w:rPr>
      <w:i/>
      <w:iCs/>
      <w:color w:val="0F4761" w:themeColor="accent1" w:themeShade="BF"/>
    </w:rPr>
  </w:style>
  <w:style w:type="character" w:styleId="IntenseReference">
    <w:name w:val="Intense Reference"/>
    <w:basedOn w:val="DefaultParagraphFont"/>
    <w:uiPriority w:val="32"/>
    <w:qFormat/>
    <w:rsid w:val="00445E0B"/>
    <w:rPr>
      <w:b/>
      <w:bCs w:val="0"/>
      <w:smallCaps/>
      <w:color w:val="0F4761" w:themeColor="accent1" w:themeShade="BF"/>
      <w:spacing w:val="5"/>
    </w:rPr>
  </w:style>
  <w:style w:type="character" w:styleId="Hyperlink">
    <w:name w:val="Hyperlink"/>
    <w:basedOn w:val="DefaultParagraphFont"/>
    <w:uiPriority w:val="99"/>
    <w:unhideWhenUsed/>
    <w:rsid w:val="00445E0B"/>
    <w:rPr>
      <w:color w:val="467886" w:themeColor="hyperlink"/>
      <w:u w:val="single"/>
    </w:rPr>
  </w:style>
  <w:style w:type="character" w:styleId="UnresolvedMention">
    <w:name w:val="Unresolved Mention"/>
    <w:basedOn w:val="DefaultParagraphFont"/>
    <w:uiPriority w:val="99"/>
    <w:semiHidden/>
    <w:unhideWhenUsed/>
    <w:rsid w:val="00445E0B"/>
    <w:rPr>
      <w:color w:val="605E5C"/>
      <w:shd w:val="clear" w:color="auto" w:fill="E1DFDD"/>
    </w:rPr>
  </w:style>
  <w:style w:type="paragraph" w:styleId="Header">
    <w:name w:val="header"/>
    <w:basedOn w:val="Normal"/>
    <w:link w:val="HeaderChar"/>
    <w:uiPriority w:val="99"/>
    <w:unhideWhenUsed/>
    <w:rsid w:val="00445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E0B"/>
  </w:style>
  <w:style w:type="paragraph" w:styleId="Footer">
    <w:name w:val="footer"/>
    <w:basedOn w:val="Normal"/>
    <w:link w:val="FooterChar"/>
    <w:uiPriority w:val="99"/>
    <w:unhideWhenUsed/>
    <w:rsid w:val="00445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orthdevonbiosphere.org.uk/smart-biospher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thdevonsurfreserve.org/coastal-riv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2511</Characters>
  <Application>Microsoft Office Word</Application>
  <DocSecurity>0</DocSecurity>
  <Lines>78</Lines>
  <Paragraphs>45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Keane</dc:creator>
  <cp:keywords/>
  <dc:description/>
  <cp:lastModifiedBy>Sue Keane</cp:lastModifiedBy>
  <cp:revision>1</cp:revision>
  <dcterms:created xsi:type="dcterms:W3CDTF">2026-04-23T08:29:00Z</dcterms:created>
  <dcterms:modified xsi:type="dcterms:W3CDTF">2026-04-23T08:31:00Z</dcterms:modified>
</cp:coreProperties>
</file>